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D6B05" w:rsidRDefault="00B530F1" w:rsidP="00B530F1">
      <w:pPr>
        <w:jc w:val="center"/>
        <w:rPr>
          <w:b/>
          <w:bCs/>
          <w:sz w:val="19"/>
          <w:szCs w:val="19"/>
        </w:rPr>
      </w:pPr>
      <w:r w:rsidRPr="00AD6B05">
        <w:rPr>
          <w:b/>
          <w:bCs/>
          <w:sz w:val="19"/>
          <w:szCs w:val="19"/>
        </w:rPr>
        <w:t xml:space="preserve">Сообщение о существенном факте  </w:t>
      </w:r>
    </w:p>
    <w:p w:rsidR="00B530F1" w:rsidRPr="00AD6B05" w:rsidRDefault="00B530F1" w:rsidP="00B530F1">
      <w:pPr>
        <w:adjustRightInd w:val="0"/>
        <w:ind w:firstLine="540"/>
        <w:jc w:val="center"/>
        <w:rPr>
          <w:b/>
          <w:bCs/>
          <w:sz w:val="19"/>
          <w:szCs w:val="19"/>
        </w:rPr>
      </w:pPr>
      <w:r w:rsidRPr="00AD6B05">
        <w:rPr>
          <w:b/>
          <w:bCs/>
          <w:sz w:val="19"/>
          <w:szCs w:val="19"/>
        </w:rPr>
        <w:t>«Об отдельных решениях, принятых советом директоров эмитента»</w:t>
      </w:r>
    </w:p>
    <w:p w:rsidR="007661C0" w:rsidRPr="00AD6B05" w:rsidRDefault="007661C0" w:rsidP="00202A03">
      <w:pPr>
        <w:jc w:val="center"/>
        <w:rPr>
          <w:b/>
          <w:bCs/>
          <w:sz w:val="19"/>
          <w:szCs w:val="19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D6B05" w:rsidTr="00447E99">
        <w:trPr>
          <w:cantSplit/>
        </w:trPr>
        <w:tc>
          <w:tcPr>
            <w:tcW w:w="9979" w:type="dxa"/>
            <w:gridSpan w:val="2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 Общие сведения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D6B05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Публичное</w:t>
            </w:r>
            <w:r w:rsidR="00202A03" w:rsidRPr="00AD6B05">
              <w:rPr>
                <w:sz w:val="19"/>
                <w:szCs w:val="19"/>
              </w:rPr>
              <w:t xml:space="preserve"> акционерное общество «Омскшина»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D6B05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</w:t>
            </w:r>
            <w:r w:rsidR="00202A03" w:rsidRPr="00AD6B05">
              <w:rPr>
                <w:sz w:val="19"/>
                <w:szCs w:val="19"/>
              </w:rPr>
              <w:t>АО «Омскшина»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644018, г. Омск, ул. П.В. Будеркина, 2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1025501244779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5506007419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00111- А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D6B05" w:rsidRDefault="005334C3" w:rsidP="001B0E21">
            <w:pPr>
              <w:ind w:left="57" w:right="57"/>
              <w:jc w:val="both"/>
              <w:rPr>
                <w:sz w:val="19"/>
                <w:szCs w:val="19"/>
              </w:rPr>
            </w:pPr>
            <w:hyperlink r:id="rId5" w:history="1">
              <w:r w:rsidR="00202A03" w:rsidRPr="00AD6B05">
                <w:rPr>
                  <w:rStyle w:val="a3"/>
                  <w:sz w:val="19"/>
                  <w:szCs w:val="19"/>
                </w:rPr>
                <w:t>www.omsktyre.ru</w:t>
              </w:r>
            </w:hyperlink>
            <w:r w:rsidR="001B0E21" w:rsidRPr="00AD6B05">
              <w:rPr>
                <w:sz w:val="19"/>
                <w:szCs w:val="19"/>
              </w:rPr>
              <w:t>,</w:t>
            </w:r>
            <w:hyperlink r:id="rId6" w:history="1">
              <w:r w:rsidR="00747AD9" w:rsidRPr="00AD6B05">
                <w:rPr>
                  <w:rStyle w:val="a3"/>
                  <w:sz w:val="19"/>
                  <w:szCs w:val="19"/>
                </w:rPr>
                <w:t>http://www.e-disclosure.ru/portal/company.aspx?id=2573</w:t>
              </w:r>
            </w:hyperlink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D6B05" w:rsidTr="00447E99">
        <w:tc>
          <w:tcPr>
            <w:tcW w:w="9979" w:type="dxa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2. Содержание сообщения</w:t>
            </w:r>
          </w:p>
        </w:tc>
      </w:tr>
      <w:tr w:rsidR="00202A03" w:rsidRPr="00AD6B05" w:rsidTr="00447E99">
        <w:trPr>
          <w:trHeight w:val="841"/>
        </w:trPr>
        <w:tc>
          <w:tcPr>
            <w:tcW w:w="9979" w:type="dxa"/>
          </w:tcPr>
          <w:p w:rsidR="00AD6B05" w:rsidRPr="00AD6B05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Кворум заседания Совета директоров эмитента и результаты голосования по вопросам о принятии решений: Бюллетени получены от 7 членов Совета директоров из 7, избранных годовым общим собранием акционеров Общества 08 июня 2017 года (протокол №65 от 14.06.2017 г.). Кворум имеется.</w:t>
            </w:r>
          </w:p>
          <w:p w:rsidR="00AD6B05" w:rsidRPr="00AD6B05" w:rsidRDefault="00AD6B05" w:rsidP="00AD6B05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9"/>
                <w:szCs w:val="19"/>
              </w:rPr>
            </w:pPr>
            <w:r w:rsidRPr="00AD6B05">
              <w:rPr>
                <w:color w:val="000000"/>
                <w:sz w:val="19"/>
                <w:szCs w:val="19"/>
              </w:rPr>
              <w:t xml:space="preserve">По второму вопросу повестки дня голосовали: </w:t>
            </w:r>
            <w:r w:rsidRPr="00AD6B05">
              <w:rPr>
                <w:sz w:val="19"/>
                <w:szCs w:val="19"/>
              </w:rPr>
              <w:t>«ЗА» – 7 (В.Г. Горбунов, Л.Б. Гришина, О.В. Грачев, В.В. Чибинов, А.И. Бакин, Е.А. Рогозин, В.Ю. Кондратьев – единогласно); «ПРОТИВ» – нет; «ВОЗДЕРЖАЛСЯ» – нет.</w:t>
            </w:r>
          </w:p>
          <w:p w:rsidR="00AD6B05" w:rsidRPr="00AD6B05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Содержание</w:t>
            </w:r>
            <w:r w:rsidRPr="00AD6B05">
              <w:rPr>
                <w:color w:val="000000"/>
                <w:sz w:val="19"/>
                <w:szCs w:val="19"/>
              </w:rPr>
              <w:t xml:space="preserve"> решений, принятых С</w:t>
            </w:r>
            <w:bookmarkStart w:id="0" w:name="_GoBack"/>
            <w:bookmarkEnd w:id="0"/>
            <w:r w:rsidRPr="00AD6B05">
              <w:rPr>
                <w:color w:val="000000"/>
                <w:sz w:val="19"/>
                <w:szCs w:val="19"/>
              </w:rPr>
              <w:t>оветом директоров эмитента:</w:t>
            </w:r>
          </w:p>
          <w:p w:rsidR="00AD6B05" w:rsidRPr="00AD6B05" w:rsidRDefault="00AD6B05" w:rsidP="00AD6B05">
            <w:pPr>
              <w:tabs>
                <w:tab w:val="left" w:pos="70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AD6B05">
              <w:rPr>
                <w:color w:val="000000"/>
                <w:sz w:val="19"/>
                <w:szCs w:val="19"/>
              </w:rPr>
              <w:t xml:space="preserve">Вопрос 2. </w:t>
            </w:r>
            <w:r w:rsidRPr="00AD6B05">
              <w:rPr>
                <w:sz w:val="19"/>
                <w:szCs w:val="19"/>
              </w:rPr>
              <w:t>Одобрение крупной сделки (предоставление согласия на совершение крупной сделки), а также принятие решения о совершении сделки - заключение Дополнительного соглашения №1 к Договору поручительства № 00.</w:t>
            </w:r>
            <w:r w:rsidRPr="00AD6B05">
              <w:rPr>
                <w:bCs/>
                <w:sz w:val="19"/>
                <w:szCs w:val="19"/>
              </w:rPr>
              <w:t xml:space="preserve">02-2-2/02/063/14 от 16.10.2014 г. </w:t>
            </w:r>
            <w:r w:rsidRPr="00AD6B05">
              <w:rPr>
                <w:sz w:val="19"/>
                <w:szCs w:val="19"/>
              </w:rPr>
              <w:t>между ПАО «Омскшина» и Акционерным обществом «Акционерный Банк «РОССИЯ», для обеспечения обязательств Акционерного общества «Кордиант» по Кредитному договору № 00.</w:t>
            </w:r>
            <w:r w:rsidRPr="00AD6B05">
              <w:rPr>
                <w:bCs/>
                <w:sz w:val="19"/>
                <w:szCs w:val="19"/>
              </w:rPr>
              <w:t xml:space="preserve">02-2-2/01/150/14 от 31.07.2014 </w:t>
            </w:r>
            <w:r w:rsidRPr="00AD6B05">
              <w:rPr>
                <w:noProof/>
                <w:sz w:val="19"/>
                <w:szCs w:val="19"/>
              </w:rPr>
              <w:t>г.</w:t>
            </w:r>
          </w:p>
          <w:p w:rsidR="00AD6B05" w:rsidRPr="00AD6B05" w:rsidRDefault="00AD6B05" w:rsidP="00AD6B05">
            <w:pPr>
              <w:widowControl w:val="0"/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sz w:val="19"/>
                <w:szCs w:val="19"/>
                <w:u w:val="single"/>
              </w:rPr>
            </w:pPr>
            <w:r w:rsidRPr="00AD6B05">
              <w:rPr>
                <w:sz w:val="19"/>
                <w:szCs w:val="19"/>
                <w:u w:val="single"/>
              </w:rPr>
              <w:t>Совет директоров решил:</w:t>
            </w:r>
          </w:p>
          <w:p w:rsidR="00AD6B05" w:rsidRPr="00AD6B05" w:rsidRDefault="00AD6B05" w:rsidP="00AD6B05">
            <w:pPr>
              <w:pStyle w:val="ad"/>
              <w:tabs>
                <w:tab w:val="left" w:pos="743"/>
              </w:tabs>
              <w:suppressAutoHyphens/>
              <w:ind w:left="114" w:right="114" w:firstLine="426"/>
              <w:jc w:val="both"/>
              <w:rPr>
                <w:sz w:val="19"/>
                <w:szCs w:val="19"/>
              </w:rPr>
            </w:pPr>
            <w:r w:rsidRPr="00AD6B05">
              <w:rPr>
                <w:snapToGrid w:val="0"/>
                <w:sz w:val="19"/>
                <w:szCs w:val="19"/>
              </w:rPr>
              <w:t xml:space="preserve">2.1.  Одобрить крупную сделку (предоставить согласие на совершение крупной сделки), а также принять решение о совершении сделки, </w:t>
            </w:r>
            <w:r w:rsidRPr="00AD6B05">
              <w:rPr>
                <w:sz w:val="19"/>
                <w:szCs w:val="19"/>
              </w:rPr>
              <w:t xml:space="preserve">связанной </w:t>
            </w:r>
            <w:r w:rsidRPr="00AD6B05">
              <w:rPr>
                <w:snapToGrid w:val="0"/>
                <w:sz w:val="19"/>
                <w:szCs w:val="19"/>
              </w:rPr>
              <w:t xml:space="preserve">с выдачей Обществом поручительства за лицо, не являющееся дочерним обществом, и сделки, финансовая задолженность (кредиторская и/или дебиторская) по которой может превысить 100 000 000 (Сто миллионов) рублей </w:t>
            </w:r>
            <w:r w:rsidRPr="00AD6B05">
              <w:rPr>
                <w:sz w:val="19"/>
                <w:szCs w:val="19"/>
              </w:rPr>
              <w:t>(за исключением сделок между юридическими лицами группы Общества, включая само Общество), - заключение Дополнительного соглашения №1 к Договору поручительства № 00.</w:t>
            </w:r>
            <w:r w:rsidRPr="00AD6B05">
              <w:rPr>
                <w:bCs/>
                <w:sz w:val="19"/>
                <w:szCs w:val="19"/>
              </w:rPr>
              <w:t>02-2-2/02/063/14 от 16.10.2014 г.</w:t>
            </w:r>
            <w:r w:rsidRPr="00AD6B05">
              <w:rPr>
                <w:b/>
                <w:bCs/>
                <w:sz w:val="19"/>
                <w:szCs w:val="19"/>
              </w:rPr>
              <w:t xml:space="preserve"> </w:t>
            </w:r>
            <w:r w:rsidRPr="00AD6B05">
              <w:rPr>
                <w:sz w:val="19"/>
                <w:szCs w:val="19"/>
              </w:rPr>
              <w:t>между ПАО «Омскшина» (Поручитель) и Акционерным обществом «Акционерный Банк «РОССИЯ» (Банк), для обеспечения обязательств Акционерного общества «Кордиант» (Должник) по Кредитному договору № 00.</w:t>
            </w:r>
            <w:r w:rsidRPr="00AD6B05">
              <w:rPr>
                <w:bCs/>
                <w:sz w:val="19"/>
                <w:szCs w:val="19"/>
              </w:rPr>
              <w:t>02-2-2/01/150/14 от 31.07.2014</w:t>
            </w:r>
            <w:r w:rsidRPr="00AD6B05">
              <w:rPr>
                <w:b/>
                <w:bCs/>
                <w:sz w:val="19"/>
                <w:szCs w:val="19"/>
              </w:rPr>
              <w:t xml:space="preserve"> </w:t>
            </w:r>
            <w:r w:rsidRPr="00AD6B05">
              <w:rPr>
                <w:noProof/>
                <w:sz w:val="19"/>
                <w:szCs w:val="19"/>
              </w:rPr>
              <w:t xml:space="preserve">г. (Кредитный договор) на следующих условиях: </w:t>
            </w:r>
          </w:p>
          <w:p w:rsidR="00AD6B05" w:rsidRPr="00AD6B05" w:rsidRDefault="00AD6B05" w:rsidP="00AD6B05">
            <w:pPr>
              <w:ind w:left="601" w:right="114"/>
              <w:jc w:val="both"/>
              <w:rPr>
                <w:sz w:val="19"/>
                <w:szCs w:val="19"/>
                <w:u w:val="single"/>
              </w:rPr>
            </w:pPr>
            <w:r w:rsidRPr="00AD6B05">
              <w:rPr>
                <w:sz w:val="19"/>
                <w:szCs w:val="19"/>
                <w:u w:val="single"/>
              </w:rPr>
              <w:t>Стороны сделки:</w:t>
            </w:r>
          </w:p>
          <w:p w:rsidR="00AD6B05" w:rsidRPr="00AD6B05" w:rsidRDefault="00AD6B05" w:rsidP="00AD6B05">
            <w:pPr>
              <w:ind w:left="601" w:right="114"/>
              <w:jc w:val="both"/>
              <w:rPr>
                <w:sz w:val="19"/>
                <w:szCs w:val="19"/>
              </w:rPr>
            </w:pPr>
            <w:r w:rsidRPr="00AD6B05">
              <w:rPr>
                <w:i/>
                <w:sz w:val="19"/>
                <w:szCs w:val="19"/>
              </w:rPr>
              <w:t>Банк:</w:t>
            </w:r>
            <w:r w:rsidRPr="00AD6B05">
              <w:rPr>
                <w:sz w:val="19"/>
                <w:szCs w:val="19"/>
              </w:rPr>
              <w:t xml:space="preserve"> Акционерное общество «Акционерный Банк «РОССИЯ».</w:t>
            </w:r>
          </w:p>
          <w:p w:rsidR="00AD6B05" w:rsidRPr="00AD6B05" w:rsidRDefault="00AD6B05" w:rsidP="00AD6B05">
            <w:pPr>
              <w:ind w:left="601" w:right="114"/>
              <w:jc w:val="both"/>
              <w:rPr>
                <w:sz w:val="19"/>
                <w:szCs w:val="19"/>
              </w:rPr>
            </w:pPr>
            <w:r w:rsidRPr="00AD6B05">
              <w:rPr>
                <w:i/>
                <w:sz w:val="19"/>
                <w:szCs w:val="19"/>
              </w:rPr>
              <w:t xml:space="preserve">Поручитель: </w:t>
            </w:r>
            <w:r w:rsidRPr="00AD6B05">
              <w:rPr>
                <w:sz w:val="19"/>
                <w:szCs w:val="19"/>
              </w:rPr>
              <w:t>Публичное акционерное общество «</w:t>
            </w:r>
            <w:r w:rsidRPr="00AD6B05">
              <w:rPr>
                <w:color w:val="000000"/>
                <w:sz w:val="19"/>
                <w:szCs w:val="19"/>
              </w:rPr>
              <w:t>Омскшина</w:t>
            </w:r>
            <w:r w:rsidRPr="00AD6B05">
              <w:rPr>
                <w:sz w:val="19"/>
                <w:szCs w:val="19"/>
              </w:rPr>
              <w:t>».</w:t>
            </w:r>
          </w:p>
          <w:p w:rsidR="00AD6B05" w:rsidRPr="00AD6B05" w:rsidRDefault="00AD6B05" w:rsidP="00AD6B05">
            <w:pPr>
              <w:ind w:left="601" w:right="114"/>
              <w:jc w:val="both"/>
              <w:rPr>
                <w:sz w:val="19"/>
                <w:szCs w:val="19"/>
              </w:rPr>
            </w:pPr>
            <w:r w:rsidRPr="00AD6B05">
              <w:rPr>
                <w:i/>
                <w:sz w:val="19"/>
                <w:szCs w:val="19"/>
              </w:rPr>
              <w:t>Должник:</w:t>
            </w:r>
            <w:r w:rsidRPr="00AD6B05">
              <w:rPr>
                <w:sz w:val="19"/>
                <w:szCs w:val="19"/>
              </w:rPr>
              <w:t xml:space="preserve"> Акционерное общество «Кордиант».</w:t>
            </w:r>
          </w:p>
          <w:p w:rsidR="00AD6B05" w:rsidRPr="00AD6B05" w:rsidRDefault="00AD6B05" w:rsidP="00AD6B05">
            <w:pPr>
              <w:ind w:left="601" w:right="11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  <w:u w:val="single"/>
              </w:rPr>
              <w:t>Предмет сделки:</w:t>
            </w:r>
            <w:r w:rsidRPr="00AD6B05">
              <w:rPr>
                <w:sz w:val="19"/>
                <w:szCs w:val="19"/>
              </w:rPr>
              <w:t xml:space="preserve"> Публичное акционерное общество «</w:t>
            </w:r>
            <w:r w:rsidRPr="00AD6B05">
              <w:rPr>
                <w:color w:val="000000"/>
                <w:sz w:val="19"/>
                <w:szCs w:val="19"/>
              </w:rPr>
              <w:t>Омскшина</w:t>
            </w:r>
            <w:r w:rsidRPr="00AD6B05">
              <w:rPr>
                <w:sz w:val="19"/>
                <w:szCs w:val="19"/>
              </w:rPr>
              <w:t>» (Поручитель) обязуется перед Акционерным обществом «Акционерный Банк «РОССИЯ» (Банк) отвечать в полном объеме за исполнение Акционерным обществом «Кордиант» (Должник) всех его обязательств по Кредитному договору № 00.02-2-2/01/150/14 от 31.07.2014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 Банка, вызванных неисполнением или ненадлежащим исполнением обязательств Должником по Кредитному договору № 00.02-2-2/01/150/14 от 31.07.2014 г.</w:t>
            </w:r>
          </w:p>
          <w:p w:rsidR="00AD6B05" w:rsidRPr="00AD6B05" w:rsidRDefault="00AD6B05" w:rsidP="00AD6B05">
            <w:pPr>
              <w:pStyle w:val="22"/>
              <w:ind w:left="601" w:right="114"/>
              <w:jc w:val="both"/>
              <w:rPr>
                <w:sz w:val="19"/>
                <w:szCs w:val="19"/>
                <w:u w:val="single"/>
              </w:rPr>
            </w:pPr>
            <w:r w:rsidRPr="00AD6B05">
              <w:rPr>
                <w:sz w:val="19"/>
                <w:szCs w:val="19"/>
                <w:u w:val="single"/>
              </w:rPr>
              <w:t xml:space="preserve">Существенные условия Кредитного договора: </w:t>
            </w:r>
          </w:p>
          <w:p w:rsidR="00AD6B05" w:rsidRPr="00AD6B05" w:rsidRDefault="00AD6B05" w:rsidP="00AD6B05">
            <w:pPr>
              <w:numPr>
                <w:ilvl w:val="0"/>
                <w:numId w:val="14"/>
              </w:numPr>
              <w:tabs>
                <w:tab w:val="left" w:pos="1168"/>
              </w:tabs>
              <w:autoSpaceDE/>
              <w:autoSpaceDN/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Должнику предоставлен кредит в форме невозобновляемой кредитной линии в размере 1 600 000 000 (Один миллиард шестьсот миллионов) рублей на срок до 31.07.2019 г. с начислением процентной ставки за пользование кредитом:</w:t>
            </w:r>
          </w:p>
          <w:p w:rsidR="00AD6B05" w:rsidRPr="00AD6B05" w:rsidRDefault="00AD6B05" w:rsidP="00AD6B05">
            <w:pPr>
              <w:tabs>
                <w:tab w:val="left" w:pos="284"/>
              </w:tabs>
              <w:ind w:left="1168" w:right="114"/>
              <w:jc w:val="both"/>
              <w:rPr>
                <w:bCs/>
                <w:sz w:val="19"/>
                <w:szCs w:val="19"/>
              </w:rPr>
            </w:pPr>
            <w:r w:rsidRPr="00AD6B05">
              <w:rPr>
                <w:bCs/>
                <w:sz w:val="19"/>
                <w:szCs w:val="19"/>
              </w:rPr>
              <w:t>- с «31» июля 2014г. по «02» августа 2017г. в размере 11 (Одиннадцать) процентов годовых;</w:t>
            </w:r>
          </w:p>
          <w:p w:rsidR="00AD6B05" w:rsidRPr="00AD6B05" w:rsidRDefault="00AD6B05" w:rsidP="00AD6B05">
            <w:pPr>
              <w:tabs>
                <w:tab w:val="left" w:pos="284"/>
              </w:tabs>
              <w:ind w:left="1168" w:right="114"/>
              <w:jc w:val="both"/>
              <w:rPr>
                <w:bCs/>
                <w:sz w:val="19"/>
                <w:szCs w:val="19"/>
              </w:rPr>
            </w:pPr>
            <w:r w:rsidRPr="00AD6B05">
              <w:rPr>
                <w:bCs/>
                <w:sz w:val="19"/>
                <w:szCs w:val="19"/>
              </w:rPr>
              <w:t>- с «03» августа 2017г. по «31» июля 2019г. в размере ключевой ставки ЦБ РФ плюс 0,75 (ноль целых семьдесят пять сотых) процентов годовых.</w:t>
            </w:r>
          </w:p>
          <w:p w:rsidR="00AD6B05" w:rsidRPr="00AD6B05" w:rsidRDefault="00AD6B05" w:rsidP="00AD6B05">
            <w:pPr>
              <w:tabs>
                <w:tab w:val="left" w:pos="1168"/>
              </w:tabs>
              <w:ind w:left="1168" w:right="114"/>
              <w:jc w:val="both"/>
              <w:rPr>
                <w:sz w:val="19"/>
                <w:szCs w:val="19"/>
              </w:rPr>
            </w:pPr>
            <w:r w:rsidRPr="00AD6B05">
              <w:rPr>
                <w:bCs/>
                <w:sz w:val="19"/>
                <w:szCs w:val="19"/>
              </w:rPr>
              <w:t>Изменение процентной ставки происходит со дня, следующего за днем официального изменения Ключевой ставки</w:t>
            </w:r>
            <w:r w:rsidRPr="00AD6B05">
              <w:rPr>
                <w:sz w:val="19"/>
                <w:szCs w:val="19"/>
              </w:rPr>
              <w:t>.</w:t>
            </w:r>
          </w:p>
          <w:p w:rsidR="00AD6B05" w:rsidRPr="00AD6B05" w:rsidRDefault="00AD6B05" w:rsidP="00AD6B05">
            <w:pPr>
              <w:pStyle w:val="BodyText21"/>
              <w:numPr>
                <w:ilvl w:val="0"/>
                <w:numId w:val="14"/>
              </w:numPr>
              <w:tabs>
                <w:tab w:val="clear" w:pos="0"/>
                <w:tab w:val="clear" w:pos="1133"/>
                <w:tab w:val="left" w:pos="1168"/>
              </w:tabs>
              <w:ind w:left="1169" w:right="114" w:hanging="284"/>
              <w:rPr>
                <w:color w:val="auto"/>
                <w:sz w:val="19"/>
                <w:szCs w:val="19"/>
              </w:rPr>
            </w:pPr>
            <w:r w:rsidRPr="00AD6B05">
              <w:rPr>
                <w:color w:val="auto"/>
                <w:sz w:val="19"/>
                <w:szCs w:val="19"/>
              </w:rPr>
              <w:t>Предоставление траншей в соответствии с условиями Кредитного договора № 00.02-2-2/01/150/14 от 31.07.2014 г. осуществляется в срок по 25.12.2014 г., по истечении указанной даты транши не предоставляются.</w:t>
            </w:r>
          </w:p>
          <w:p w:rsidR="00AD6B05" w:rsidRPr="00AD6B05" w:rsidRDefault="00AD6B05" w:rsidP="00AD6B05">
            <w:pPr>
              <w:pStyle w:val="BodyText21"/>
              <w:numPr>
                <w:ilvl w:val="0"/>
                <w:numId w:val="14"/>
              </w:numPr>
              <w:tabs>
                <w:tab w:val="clear" w:pos="0"/>
                <w:tab w:val="clear" w:pos="1133"/>
                <w:tab w:val="left" w:pos="1168"/>
              </w:tabs>
              <w:ind w:left="1169" w:right="114" w:hanging="284"/>
              <w:rPr>
                <w:color w:val="auto"/>
                <w:sz w:val="19"/>
                <w:szCs w:val="19"/>
              </w:rPr>
            </w:pPr>
            <w:r w:rsidRPr="00AD6B05">
              <w:rPr>
                <w:color w:val="auto"/>
                <w:sz w:val="19"/>
                <w:szCs w:val="19"/>
              </w:rPr>
              <w:t>Цель кредитования: финансирование текущей деятельности.</w:t>
            </w:r>
          </w:p>
          <w:p w:rsidR="00AD6B05" w:rsidRPr="00AD6B05" w:rsidRDefault="00AD6B05" w:rsidP="00AD6B05">
            <w:pPr>
              <w:numPr>
                <w:ilvl w:val="0"/>
                <w:numId w:val="14"/>
              </w:numPr>
              <w:tabs>
                <w:tab w:val="left" w:pos="1168"/>
              </w:tabs>
              <w:autoSpaceDE/>
              <w:autoSpaceDN/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Должник имеет право на полное/частичное досрочное погашение кредита без взимания Банком платы за такой возврат.</w:t>
            </w:r>
          </w:p>
          <w:p w:rsidR="00AD6B05" w:rsidRPr="00AD6B05" w:rsidRDefault="00AD6B05" w:rsidP="00AD6B05">
            <w:pPr>
              <w:numPr>
                <w:ilvl w:val="0"/>
                <w:numId w:val="14"/>
              </w:numPr>
              <w:tabs>
                <w:tab w:val="left" w:pos="1168"/>
              </w:tabs>
              <w:autoSpaceDE/>
              <w:autoSpaceDN/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Полное/частичное досрочное погашение кредита осуществляется по письменному заявлению Должника, полученному Банком не позднее, чем за 1 (Один) календарный день до предполагаемой даты погашения.</w:t>
            </w:r>
          </w:p>
          <w:p w:rsidR="00AD6B05" w:rsidRPr="00AD6B05" w:rsidRDefault="00AD6B05" w:rsidP="00AD6B05">
            <w:pPr>
              <w:numPr>
                <w:ilvl w:val="0"/>
                <w:numId w:val="14"/>
              </w:numPr>
              <w:tabs>
                <w:tab w:val="left" w:pos="1168"/>
              </w:tabs>
              <w:autoSpaceDE/>
              <w:autoSpaceDN/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Проценты за пользование кредитом начисляются Банком на сумму фактической ежедневной задолженности по кредиту со дня, следующего за днем зачисления суммы кредита на Счет Должника в Банке по дату фактического погашения кредита.</w:t>
            </w:r>
          </w:p>
          <w:p w:rsidR="00AD6B05" w:rsidRPr="00AD6B05" w:rsidRDefault="00AD6B05" w:rsidP="00AD6B05">
            <w:pPr>
              <w:numPr>
                <w:ilvl w:val="0"/>
                <w:numId w:val="14"/>
              </w:numPr>
              <w:tabs>
                <w:tab w:val="left" w:pos="1168"/>
              </w:tabs>
              <w:autoSpaceDE/>
              <w:autoSpaceDN/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Уплата процентов за пользование кредитом производится в валюте кредита не позднее последнего рабочего дня месяца, в котором закончился соответствующий процентный период.</w:t>
            </w:r>
          </w:p>
          <w:p w:rsidR="00AD6B05" w:rsidRPr="00AD6B05" w:rsidRDefault="00AD6B05" w:rsidP="00AD6B05">
            <w:pPr>
              <w:pStyle w:val="af0"/>
              <w:numPr>
                <w:ilvl w:val="0"/>
                <w:numId w:val="14"/>
              </w:numPr>
              <w:tabs>
                <w:tab w:val="left" w:pos="1168"/>
              </w:tabs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lastRenderedPageBreak/>
              <w:t>В случае полного досрочного возврата Должником кредита подлежащие уплате проценты уплачиваются Должником одновременно с возвратом кредита.</w:t>
            </w:r>
          </w:p>
          <w:p w:rsidR="00AD6B05" w:rsidRPr="00AD6B05" w:rsidRDefault="00AD6B05" w:rsidP="00AD6B05">
            <w:pPr>
              <w:pStyle w:val="af0"/>
              <w:numPr>
                <w:ilvl w:val="0"/>
                <w:numId w:val="14"/>
              </w:numPr>
              <w:tabs>
                <w:tab w:val="left" w:pos="1168"/>
              </w:tabs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В случае неисполнения/ненадлежащего исполнения обязательства, по обеспечению ежеквартальных поступлений на банковский счет Должника в Банке, Банк вправе увеличить процентную ставку за пользование кредитом на 1 (Один) процентный пункт с первого дня квартала, следующего за кварталом неисполнения/ненадлежащего исполнения по последний (включительно) день квартала, в котором данное требование исполнено.</w:t>
            </w:r>
          </w:p>
          <w:p w:rsidR="00AD6B05" w:rsidRPr="00AD6B05" w:rsidRDefault="00AD6B05" w:rsidP="00AD6B05">
            <w:pPr>
              <w:pStyle w:val="af0"/>
              <w:numPr>
                <w:ilvl w:val="0"/>
                <w:numId w:val="14"/>
              </w:numPr>
              <w:tabs>
                <w:tab w:val="left" w:pos="1168"/>
              </w:tabs>
              <w:ind w:left="1169" w:right="114" w:hanging="284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В случае неисполнения/ненадлежащего исполнения требования Банка по  предоставлению обеспечения Должник со дня, следующего за днем неисполнения/ненадлежащего исполнения по день исполнения (включительно) указанного обязательства, уплачивает проценты за пользование кредитом в размере процентной ставки, установленной Кредитным договором, увеличенной на 2 (Два) процентных пункта.</w:t>
            </w:r>
          </w:p>
          <w:p w:rsidR="00AD6B05" w:rsidRPr="00AD6B05" w:rsidRDefault="00AD6B05" w:rsidP="00AD6B05">
            <w:pPr>
              <w:tabs>
                <w:tab w:val="left" w:pos="1026"/>
              </w:tabs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napToGrid w:val="0"/>
                <w:sz w:val="19"/>
                <w:szCs w:val="19"/>
                <w:u w:val="single"/>
              </w:rPr>
              <w:t>Цена сделки (Дополнительного соглашения):</w:t>
            </w:r>
            <w:r w:rsidRPr="00AD6B05">
              <w:rPr>
                <w:snapToGrid w:val="0"/>
                <w:sz w:val="19"/>
                <w:szCs w:val="19"/>
              </w:rPr>
              <w:t xml:space="preserve"> Поручитель отвечает перед Банком за исполнение обязательств Должника в пределах Лимита выдачи</w:t>
            </w:r>
            <w:r w:rsidRPr="00AD6B05">
              <w:rPr>
                <w:sz w:val="19"/>
                <w:szCs w:val="19"/>
              </w:rPr>
              <w:t xml:space="preserve"> по Кредитному договору в размере 1 600 000 000 (Один миллиард шестьсот миллионов) рублей с начислением процентной ставки за пользование кредитом </w:t>
            </w:r>
            <w:r w:rsidRPr="00AD6B05">
              <w:rPr>
                <w:bCs/>
                <w:sz w:val="19"/>
                <w:szCs w:val="19"/>
              </w:rPr>
              <w:t>в размере ключевой ставки ЦБ РФ плюс 0,75 (ноль целых семьдесят пять сотых) процентов годовых.</w:t>
            </w:r>
          </w:p>
          <w:p w:rsidR="00AD6B05" w:rsidRPr="00AD6B05" w:rsidRDefault="00AD6B05" w:rsidP="00AD6B05">
            <w:pPr>
              <w:adjustRightInd w:val="0"/>
              <w:ind w:left="742" w:right="114" w:firstLine="1"/>
              <w:jc w:val="both"/>
              <w:outlineLvl w:val="4"/>
              <w:rPr>
                <w:snapToGrid w:val="0"/>
                <w:sz w:val="19"/>
                <w:szCs w:val="19"/>
                <w:u w:val="single"/>
              </w:rPr>
            </w:pPr>
            <w:r w:rsidRPr="00AD6B05">
              <w:rPr>
                <w:snapToGrid w:val="0"/>
                <w:sz w:val="19"/>
                <w:szCs w:val="19"/>
                <w:u w:val="single"/>
              </w:rPr>
              <w:t xml:space="preserve">Иные существенные условия сделки: 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При неисполнении Должником обязательств по Кредитному договору № 00.02-2-2/01/150/14 от 31.07.2014 г. Должник и Поручитель отвечают перед Банком как солидарные должники. 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Исполнение Поручителем денежных обязательств, вытекающих из договора поручительства, осуществляется путем перечисления денежных средств на счета Банка, указанные в Кредитном договоре № 00.02-2-2/01/150/14 от 31.07.2014 г. Прекращение денежных обязательств Поручителя по договору иным способом допускается только при наличии предварительного письменного согласия Банка.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Поручитель считается исполнившим свои обязательства по договору поручительства с момента зачисления денежных средств на счета Банка, указанные в Кредитном договоре № 00.02-2-2/01/150/14 от 31.07.2014 г.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Поручитель обязуется в случае неисполнения Должником своих обязательств по возврату кредита и уплате процентов, комиссий и неустоек в сроки, указанные в Кредитном договоре № 00.02-2-2/01/150/14 от 31.07.2014 г., погасить задолженность по кредиту, процентам за пользование кредитом, а также комиссии и штрафные санкции. В случае невыполнения Поручителем данных обязательств, Банк вправе без дополнительных распоряжений Поручителя списать с банковских счетов Поручителя, открытых в Банке, сумму задолженности Должника по кредиту, процентов за пользование кредитом, а также комиссии и штрафные санкции. Сумма долга в иностранной валюте пересчитывается на рубли по курсу Банка на день списания денежных средств. Указанное право списания, предоставленное Поручителем Банку в соответствии с настоящим пунктом, рассматривается Сторонами как заранее данный акцепт Поручителя по требованиям Банка.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При отсутствии денежных средств Поручитель отвечает по своим обязательствам по договору поручительства всем своим имуществом, на которое, в соответствии с законодательством РФ, может быть обращено взыскание.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Поручитель уплачивает Банку штраф из расчета 50 000 (Пятьдесят тысяч) рублей за каждое из нижеуказанных нарушений:</w:t>
            </w:r>
            <w:r w:rsidRPr="00AD6B05">
              <w:rPr>
                <w:i/>
                <w:iCs/>
                <w:sz w:val="19"/>
                <w:szCs w:val="19"/>
              </w:rPr>
              <w:t xml:space="preserve"> </w:t>
            </w:r>
          </w:p>
          <w:p w:rsidR="00AD6B05" w:rsidRPr="00AD6B05" w:rsidRDefault="00AD6B05" w:rsidP="00AD6B05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отказ Поручителя от исполнения договора поручительства на основании невыполнения Должником каких-либо обязательств перед ним;</w:t>
            </w:r>
          </w:p>
          <w:p w:rsidR="00AD6B05" w:rsidRPr="00AD6B05" w:rsidRDefault="00AD6B05" w:rsidP="00AD6B05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color w:val="000000"/>
                <w:sz w:val="19"/>
                <w:szCs w:val="19"/>
              </w:rPr>
              <w:t xml:space="preserve">непредставление Банку в течение 5 (Пяти) дней </w:t>
            </w:r>
            <w:r w:rsidRPr="00AD6B05">
              <w:rPr>
                <w:sz w:val="19"/>
                <w:szCs w:val="19"/>
              </w:rPr>
              <w:t xml:space="preserve">с момента получения соответствующего обоснованного требования </w:t>
            </w:r>
            <w:r w:rsidRPr="00AD6B05">
              <w:rPr>
                <w:color w:val="000000"/>
                <w:sz w:val="19"/>
                <w:szCs w:val="19"/>
              </w:rPr>
              <w:t>документов, подтверждающих правовой статус Поручителя и его представителя, а также финансовую отчетность Поручителя, установленную законодательством РФ;</w:t>
            </w:r>
          </w:p>
          <w:p w:rsidR="00AD6B05" w:rsidRPr="00AD6B05" w:rsidRDefault="00AD6B05" w:rsidP="00AD6B05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непредставление Банку в течение 5 (Пяти) рабочих дней уведомления и документов об изменении имущественного состояния Поручителя (уменьшение валюты баланса более чем на 25%, убыточная деятельность), его местонахождения, в т.ч. фактического и/или почтового адреса, внесения изменений в учредительные документы, в состав органов управления, изменения платежных реквизитов;</w:t>
            </w:r>
          </w:p>
          <w:p w:rsidR="00AD6B05" w:rsidRPr="00AD6B05" w:rsidRDefault="00AD6B05" w:rsidP="00AD6B05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привлечение в течение срока кредитования кредитов и займов в размере более  1 000 000 000 рублей в результате одной или нескольких сделок от каждой из компаний АО «Кордиант», АО «Кордиант-Восток»; более 250 000 000 рублей в результате одной или нескольких сделок от любого другого юридического лица. Отчуждение и передача в долгосрочную аренду и/или залог имущество (недвижимость, акции, доли участия в коммерческих организациях), выступление поручителем по обязательствам третьих лиц без предварительного письменного уведомления Банка. Не предоставление Банку информации по привлеченным займам;</w:t>
            </w:r>
          </w:p>
          <w:p w:rsidR="00AD6B05" w:rsidRPr="00AD6B05" w:rsidRDefault="00AD6B05" w:rsidP="00AD6B05">
            <w:pPr>
              <w:numPr>
                <w:ilvl w:val="0"/>
                <w:numId w:val="15"/>
              </w:numPr>
              <w:tabs>
                <w:tab w:val="left" w:pos="1026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несоблюдение Поручителем условий о конфиденциальности в отношении всей информации, относящейся к договору поручительства.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Уплата данной штрафной санкции не освобождает Поручителя от исполнения его обязанностей по договору поручительства.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Штраф подлежит уплате в течение 5 (Пяти) дней с момента получения Банком уведомления о получении Поручителем соответствующего письменного требования Банка или о невозможности его вручения Поручителю.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Подписанием договора поручительства Поручитель дает свое согласие отвечать по обязательствам, возникшим из Кредитного договора № 00.02-2-2/01/150/14 от 31.07.2014 г., за любого нового должника в случае перевода на него долга, а также при универсальном правопреемстве в случае реорганизации Должника. Подписанием договора поручительства Поручитель дает безусловное согласие отвечать по обязательствам Должника, возникшим из Кредитного договора № 00.02-2-2/01/150/14 от 31.07.2014 г., в случае изменения последнего.</w:t>
            </w:r>
          </w:p>
          <w:p w:rsidR="00AD6B05" w:rsidRPr="00AD6B05" w:rsidRDefault="00AD6B05" w:rsidP="00AD6B05">
            <w:pPr>
              <w:pStyle w:val="2"/>
              <w:tabs>
                <w:tab w:val="left" w:pos="1168"/>
              </w:tabs>
              <w:spacing w:after="0" w:line="240" w:lineRule="auto"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К Поручителю, исполнившему обязательства Должника по Кредитному договору, переходят права Банка как кредитора на получение денежных средств по Кредитному договору №00.02-2-2/01/150/14 от 31.07.2014 г. в </w:t>
            </w:r>
            <w:r w:rsidRPr="00AD6B05">
              <w:rPr>
                <w:sz w:val="19"/>
                <w:szCs w:val="19"/>
              </w:rPr>
              <w:lastRenderedPageBreak/>
              <w:t xml:space="preserve">том объеме, в котором Поручитель удовлетворил требования Банка. Права Банка как залогодержателя по договорам залога, а также права Банка по другим обеспечительным договорам, в случае, если ими обеспечивается исполнение обязательств Должника по Кредитному договору № 00.02-2-2/01/150/14 от 31.07.2014 г., переходят к Поручителю только в случае исполнения им обязательств по Кредитному договору № 00.02-2-2/01/150/14 от 31.07.2014 г. в полном объеме. </w:t>
            </w:r>
          </w:p>
          <w:p w:rsidR="00AD6B05" w:rsidRPr="00AD6B05" w:rsidRDefault="00AD6B05" w:rsidP="00AD6B05">
            <w:pPr>
              <w:widowControl w:val="0"/>
              <w:tabs>
                <w:tab w:val="left" w:pos="567"/>
                <w:tab w:val="left" w:pos="1080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742" w:right="114" w:firstLine="1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Срок действия договора поручительства - с даты заключения и по «31» июля 2022 г. (включительно). По истечении этого срока поручительство прекращается.</w:t>
            </w:r>
          </w:p>
          <w:p w:rsidR="00AD6B05" w:rsidRPr="00AD6B05" w:rsidRDefault="00AD6B05" w:rsidP="00AD6B05">
            <w:pPr>
              <w:tabs>
                <w:tab w:val="left" w:pos="709"/>
              </w:tabs>
              <w:suppressAutoHyphens/>
              <w:ind w:left="709" w:right="114"/>
              <w:contextualSpacing/>
              <w:jc w:val="both"/>
              <w:rPr>
                <w:sz w:val="19"/>
                <w:szCs w:val="19"/>
              </w:rPr>
            </w:pPr>
            <w:r w:rsidRPr="00AD6B05">
              <w:rPr>
                <w:color w:val="000000"/>
                <w:sz w:val="19"/>
                <w:szCs w:val="19"/>
              </w:rPr>
              <w:t xml:space="preserve">В случае расторжения Кредитного договора </w:t>
            </w:r>
            <w:r w:rsidRPr="00AD6B05">
              <w:rPr>
                <w:sz w:val="19"/>
                <w:szCs w:val="19"/>
              </w:rPr>
              <w:t xml:space="preserve">№ 00.02-2-2/01/150/14 от 31.07.2014 г. </w:t>
            </w:r>
            <w:r w:rsidRPr="00AD6B05">
              <w:rPr>
                <w:color w:val="000000"/>
                <w:sz w:val="19"/>
                <w:szCs w:val="19"/>
              </w:rPr>
              <w:t>поручительство сохраняет силу в части обеспечения денежного обязательства Должника, возникшего до даты расторжения Кредитного договора.</w:t>
            </w:r>
            <w:r w:rsidRPr="00AD6B05">
              <w:rPr>
                <w:sz w:val="19"/>
                <w:szCs w:val="19"/>
              </w:rPr>
              <w:t xml:space="preserve"> При недействительности Кредитного договора или при признании Кредитного договора незаключенным поручительство по Договору поручительства обеспечивает требования Банка о возврате полученных Должником денежных средств, процентов за пользование денежными средствами, а также убытков Банка.</w:t>
            </w:r>
          </w:p>
          <w:p w:rsidR="00AD6B05" w:rsidRPr="00AD6B05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14" w:firstLine="0"/>
              <w:jc w:val="both"/>
              <w:textAlignment w:val="baseline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Дата проведения заседания Совета директоров эмитента, на котором приняты соответствующие решения: 20 октября 2017 г.</w:t>
            </w:r>
          </w:p>
          <w:p w:rsidR="00AD6B05" w:rsidRPr="00AD6B05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14" w:firstLine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 Дата</w:t>
            </w:r>
            <w:r w:rsidRPr="00AD6B05">
              <w:rPr>
                <w:color w:val="000000"/>
                <w:sz w:val="19"/>
                <w:szCs w:val="19"/>
              </w:rPr>
              <w:t xml:space="preserve"> составления и номер протокола заседания Совета директоров эмитента, на котором приняты соответствующие решения: 20 октября 2017 г., протокол №241.</w:t>
            </w:r>
          </w:p>
          <w:p w:rsidR="004061E3" w:rsidRPr="00AD6B05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2.5. </w:t>
            </w:r>
            <w:r w:rsidRPr="00AD6B05">
              <w:rPr>
                <w:sz w:val="19"/>
                <w:szCs w:val="19"/>
              </w:rPr>
              <w:t xml:space="preserve">Идентификационные признаки ценных бумаг эмитента: обыкновенные именные акции, </w:t>
            </w:r>
            <w:r w:rsidRPr="00AD6B05">
              <w:rPr>
                <w:color w:val="000000"/>
                <w:sz w:val="19"/>
                <w:szCs w:val="19"/>
              </w:rPr>
              <w:t>государственный регистрационный номер выпуска: 1-01-00111-А, дата регистрации выпуска 28.01.1993 г</w:t>
            </w:r>
            <w:r w:rsidRPr="00AD6B05">
              <w:rPr>
                <w:sz w:val="19"/>
                <w:szCs w:val="19"/>
              </w:rPr>
              <w:t>., международный код (номера) идентификации ценных бумаг (</w:t>
            </w:r>
            <w:r w:rsidRPr="00AD6B05">
              <w:rPr>
                <w:sz w:val="19"/>
                <w:szCs w:val="19"/>
                <w:lang w:val="en-US"/>
              </w:rPr>
              <w:t>ISIN</w:t>
            </w:r>
            <w:r w:rsidRPr="00AD6B05">
              <w:rPr>
                <w:sz w:val="19"/>
                <w:szCs w:val="19"/>
              </w:rPr>
              <w:t xml:space="preserve">): </w:t>
            </w:r>
            <w:r w:rsidRPr="00AD6B05">
              <w:rPr>
                <w:sz w:val="19"/>
                <w:szCs w:val="19"/>
                <w:lang w:val="en-US"/>
              </w:rPr>
              <w:t>RU</w:t>
            </w:r>
            <w:r w:rsidRPr="00AD6B05">
              <w:rPr>
                <w:sz w:val="19"/>
                <w:szCs w:val="19"/>
              </w:rPr>
              <w:t>0009091268.</w:t>
            </w:r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AD6B05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3. Подпись</w:t>
            </w:r>
          </w:p>
        </w:tc>
      </w:tr>
      <w:tr w:rsidR="00202A03" w:rsidRPr="00AD6B05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AD6B05" w:rsidRDefault="007661C0" w:rsidP="007661C0">
            <w:pPr>
              <w:ind w:left="142"/>
              <w:rPr>
                <w:sz w:val="19"/>
                <w:szCs w:val="19"/>
              </w:rPr>
            </w:pPr>
          </w:p>
          <w:p w:rsidR="00202A03" w:rsidRPr="00AD6B05" w:rsidRDefault="00202A03" w:rsidP="007661C0">
            <w:pPr>
              <w:ind w:left="142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9D0438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Л.Б.</w:t>
            </w:r>
            <w:r w:rsidR="00053A3F" w:rsidRPr="00AD6B05">
              <w:rPr>
                <w:sz w:val="19"/>
                <w:szCs w:val="19"/>
              </w:rPr>
              <w:t xml:space="preserve"> </w:t>
            </w:r>
            <w:r w:rsidRPr="00AD6B05">
              <w:rPr>
                <w:sz w:val="19"/>
                <w:szCs w:val="19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AD6B05" w:rsidRDefault="00202A03" w:rsidP="00447E99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AD6B05" w:rsidRDefault="007661C0" w:rsidP="007661C0">
            <w:pPr>
              <w:spacing w:before="240"/>
              <w:ind w:left="142" w:hanging="85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  </w:t>
            </w:r>
            <w:r w:rsidR="00202A03" w:rsidRPr="00AD6B05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right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AD6B05" w:rsidP="005300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8F6FF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right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202A03" w:rsidP="00530060">
            <w:pPr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</w:t>
            </w:r>
            <w:r w:rsidR="00530060" w:rsidRPr="00AD6B05">
              <w:rPr>
                <w:sz w:val="19"/>
                <w:szCs w:val="19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ind w:left="57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p w:rsidR="00273C02" w:rsidRPr="00AD6B05" w:rsidRDefault="00273C02">
      <w:pPr>
        <w:rPr>
          <w:sz w:val="19"/>
          <w:szCs w:val="19"/>
        </w:rPr>
      </w:pPr>
    </w:p>
    <w:sectPr w:rsidR="00273C02" w:rsidRPr="00AD6B05" w:rsidSect="00937122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0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11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4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A03"/>
    <w:rsid w:val="00023989"/>
    <w:rsid w:val="00053A3F"/>
    <w:rsid w:val="00090CF1"/>
    <w:rsid w:val="00100466"/>
    <w:rsid w:val="00120716"/>
    <w:rsid w:val="001B0E21"/>
    <w:rsid w:val="001C2F78"/>
    <w:rsid w:val="001E396D"/>
    <w:rsid w:val="00202A03"/>
    <w:rsid w:val="002660EA"/>
    <w:rsid w:val="00273C02"/>
    <w:rsid w:val="00293B01"/>
    <w:rsid w:val="002B1CA4"/>
    <w:rsid w:val="002D72A6"/>
    <w:rsid w:val="00323894"/>
    <w:rsid w:val="0034502E"/>
    <w:rsid w:val="003612EE"/>
    <w:rsid w:val="00374FFD"/>
    <w:rsid w:val="003B7EC4"/>
    <w:rsid w:val="004061E3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6549D0"/>
    <w:rsid w:val="006570A0"/>
    <w:rsid w:val="00671B3F"/>
    <w:rsid w:val="00747AD9"/>
    <w:rsid w:val="007661C0"/>
    <w:rsid w:val="00787EA6"/>
    <w:rsid w:val="007939CD"/>
    <w:rsid w:val="007B17F7"/>
    <w:rsid w:val="00857808"/>
    <w:rsid w:val="00862842"/>
    <w:rsid w:val="008C335B"/>
    <w:rsid w:val="008D6360"/>
    <w:rsid w:val="008F6FF3"/>
    <w:rsid w:val="00923068"/>
    <w:rsid w:val="00937122"/>
    <w:rsid w:val="00960863"/>
    <w:rsid w:val="0097141B"/>
    <w:rsid w:val="009D0438"/>
    <w:rsid w:val="009F7889"/>
    <w:rsid w:val="00A17B0A"/>
    <w:rsid w:val="00A33667"/>
    <w:rsid w:val="00A5299A"/>
    <w:rsid w:val="00A63818"/>
    <w:rsid w:val="00A86B8C"/>
    <w:rsid w:val="00AD6B05"/>
    <w:rsid w:val="00B027E4"/>
    <w:rsid w:val="00B47EB8"/>
    <w:rsid w:val="00B530F1"/>
    <w:rsid w:val="00BB16C8"/>
    <w:rsid w:val="00BC0CE7"/>
    <w:rsid w:val="00C30C46"/>
    <w:rsid w:val="00C53353"/>
    <w:rsid w:val="00CB2533"/>
    <w:rsid w:val="00CF388D"/>
    <w:rsid w:val="00D1422B"/>
    <w:rsid w:val="00D20FEB"/>
    <w:rsid w:val="00DA6631"/>
    <w:rsid w:val="00E036BF"/>
    <w:rsid w:val="00E078A0"/>
    <w:rsid w:val="00E14EBC"/>
    <w:rsid w:val="00E354DF"/>
    <w:rsid w:val="00E413AF"/>
    <w:rsid w:val="00E51E45"/>
    <w:rsid w:val="00E76F19"/>
    <w:rsid w:val="00EB33F2"/>
    <w:rsid w:val="00F04523"/>
    <w:rsid w:val="00F1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17F7"/>
  </w:style>
  <w:style w:type="character" w:customStyle="1" w:styleId="a6">
    <w:name w:val="Текст примечания Знак"/>
    <w:basedOn w:val="a0"/>
    <w:link w:val="a5"/>
    <w:uiPriority w:val="99"/>
    <w:semiHidden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3</cp:revision>
  <cp:lastPrinted>2014-10-24T06:23:00Z</cp:lastPrinted>
  <dcterms:created xsi:type="dcterms:W3CDTF">2017-10-19T07:33:00Z</dcterms:created>
  <dcterms:modified xsi:type="dcterms:W3CDTF">2017-10-19T07:36:00Z</dcterms:modified>
</cp:coreProperties>
</file>